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360" w:lineRule="auto"/>
        <w:ind w:hanging="2"/>
        <w:jc w:val="both"/>
        <w:rPr>
          <w:rFonts w:ascii="Arial" w:cs="Arial" w:eastAsia="Arial" w:hAnsi="Arial"/>
          <w:sz w:val="34"/>
          <w:szCs w:val="34"/>
        </w:rPr>
      </w:pPr>
      <w:r w:rsidDel="00000000" w:rsidR="00000000" w:rsidRPr="00000000">
        <w:rPr>
          <w:rFonts w:ascii="Arial" w:cs="Arial" w:eastAsia="Arial" w:hAnsi="Arial"/>
          <w:sz w:val="34"/>
          <w:szCs w:val="34"/>
          <w:rtl w:val="0"/>
        </w:rPr>
        <w:t xml:space="preserve"> Superintendencia de Fuerzas de Operaciones Especiales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 w:lineRule="auto"/>
        <w:rPr>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64769</wp:posOffset>
                </wp:positionH>
                <wp:positionV relativeFrom="paragraph">
                  <wp:posOffset>160655</wp:posOffset>
                </wp:positionV>
                <wp:extent cx="6068060" cy="608965"/>
                <wp:effectExtent b="0" l="0" r="0" t="0"/>
                <wp:wrapTopAndBottom distB="0" distT="0"/>
                <wp:docPr id="3" name=""/>
                <a:graphic>
                  <a:graphicData uri="http://schemas.microsoft.com/office/word/2010/wordprocessingGroup">
                    <wpg:wgp>
                      <wpg:cNvGrpSpPr/>
                      <wpg:grpSpPr>
                        <a:xfrm>
                          <a:off x="2311950" y="3475500"/>
                          <a:ext cx="6068060" cy="608965"/>
                          <a:chOff x="2311950" y="3475500"/>
                          <a:chExt cx="6068100" cy="609000"/>
                        </a:xfrm>
                      </wpg:grpSpPr>
                      <wpg:grpSp>
                        <wpg:cNvGrpSpPr/>
                        <wpg:grpSpPr>
                          <a:xfrm>
                            <a:off x="2311970" y="3475518"/>
                            <a:ext cx="6068060" cy="608965"/>
                            <a:chOff x="2311653" y="3594580"/>
                            <a:chExt cx="6068695" cy="413040"/>
                          </a:xfrm>
                        </wpg:grpSpPr>
                        <wps:wsp>
                          <wps:cNvSpPr/>
                          <wps:cNvPr id="3" name="Shape 3"/>
                          <wps:spPr>
                            <a:xfrm>
                              <a:off x="2311653" y="3594580"/>
                              <a:ext cx="6068675" cy="41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1653" y="3594580"/>
                              <a:ext cx="6068695" cy="413040"/>
                              <a:chOff x="0" y="0"/>
                              <a:chExt cx="6068695" cy="413040"/>
                            </a:xfrm>
                          </wpg:grpSpPr>
                          <wps:wsp>
                            <wps:cNvSpPr/>
                            <wps:cNvPr id="5" name="Shape 5"/>
                            <wps:spPr>
                              <a:xfrm>
                                <a:off x="0" y="0"/>
                                <a:ext cx="6068675" cy="37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068695" cy="364490"/>
                              </a:xfrm>
                              <a:custGeom>
                                <a:rect b="b" l="l" r="r" t="t"/>
                                <a:pathLst>
                                  <a:path extrusionOk="0" h="364490" w="6068695">
                                    <a:moveTo>
                                      <a:pt x="6068314" y="0"/>
                                    </a:moveTo>
                                    <a:lnTo>
                                      <a:pt x="0" y="0"/>
                                    </a:lnTo>
                                    <a:lnTo>
                                      <a:pt x="0" y="364235"/>
                                    </a:lnTo>
                                    <a:lnTo>
                                      <a:pt x="6068314" y="364235"/>
                                    </a:lnTo>
                                    <a:lnTo>
                                      <a:pt x="6068314" y="0"/>
                                    </a:lnTo>
                                    <a:close/>
                                  </a:path>
                                </a:pathLst>
                              </a:custGeom>
                              <a:solidFill>
                                <a:srgbClr val="F1F1F1"/>
                              </a:solidFill>
                              <a:ln>
                                <a:noFill/>
                              </a:ln>
                            </wps:spPr>
                            <wps:bodyPr anchorCtr="0" anchor="ctr" bIns="91425" lIns="91425" spcFirstLastPara="1" rIns="91425" wrap="square" tIns="91425">
                              <a:noAutofit/>
                            </wps:bodyPr>
                          </wps:wsp>
                          <wps:wsp>
                            <wps:cNvSpPr/>
                            <wps:cNvPr id="7" name="Shape 7"/>
                            <wps:spPr>
                              <a:xfrm>
                                <a:off x="0" y="364236"/>
                                <a:ext cx="6068695" cy="6350"/>
                              </a:xfrm>
                              <a:custGeom>
                                <a:rect b="b" l="l" r="r" t="t"/>
                                <a:pathLst>
                                  <a:path extrusionOk="0" h="6350" w="6068695">
                                    <a:moveTo>
                                      <a:pt x="6068314" y="0"/>
                                    </a:moveTo>
                                    <a:lnTo>
                                      <a:pt x="0" y="0"/>
                                    </a:lnTo>
                                    <a:lnTo>
                                      <a:pt x="0" y="6096"/>
                                    </a:lnTo>
                                    <a:lnTo>
                                      <a:pt x="6068314" y="6096"/>
                                    </a:lnTo>
                                    <a:lnTo>
                                      <a:pt x="6068314"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2"/>
                                <a:ext cx="6068695" cy="413038"/>
                              </a:xfrm>
                              <a:prstGeom prst="rect">
                                <a:avLst/>
                              </a:prstGeom>
                              <a:noFill/>
                              <a:ln>
                                <a:noFill/>
                              </a:ln>
                            </wps:spPr>
                            <wps:txbx>
                              <w:txbxContent>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Jornada operativas conjuntas F.O.E.</w:t>
                                  </w:r>
                                </w:p>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64769</wp:posOffset>
                </wp:positionH>
                <wp:positionV relativeFrom="paragraph">
                  <wp:posOffset>160655</wp:posOffset>
                </wp:positionV>
                <wp:extent cx="6068060" cy="608965"/>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060" cy="608965"/>
                        </a:xfrm>
                        <a:prstGeom prst="rect"/>
                        <a:ln/>
                      </pic:spPr>
                    </pic:pic>
                  </a:graphicData>
                </a:graphic>
              </wp:anchor>
            </w:drawing>
          </mc:Fallback>
        </mc:AlternateContent>
      </w:r>
    </w:p>
    <w:p w:rsidR="00000000" w:rsidDel="00000000" w:rsidP="00000000" w:rsidRDefault="00000000" w:rsidRPr="00000000" w14:paraId="00000003">
      <w:pPr>
        <w:pStyle w:val="Heading1"/>
        <w:spacing w:line="36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Style w:val="Heading1"/>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Descripción:</w:t>
        <w:tab/>
      </w:r>
    </w:p>
    <w:p w:rsidR="00000000" w:rsidDel="00000000" w:rsidP="00000000" w:rsidRDefault="00000000" w:rsidRPr="00000000" w14:paraId="00000005">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La Superintendencia de Fuerzas de Operaciones Especiales (SFOE), creada por la Resolución N.°842/19 y con competencia sobre las Direcciones Halcón, UTOI, GAD y GPM, tiene como misión dar respuesta a situaciones críticas y de alto riesgo, para lo cual la presente propuesta plantea la implementación de un instrumento que permita evaluar, al cierre de cada ciclo anual de entrenamiento, el nivel de capacidad de respuesta, coordinación, mando y control de su personal, con el fin de comprobar, mantener y fortalecer las competencias operativas, unificar criterios de entrenamiento y empleo operativo, profesionalizar a las Fuerzas de Operaciones Especiales, sostener un nivel de preparación permanente ante situaciones imprevistas, preparar al personal para intervenciones reales y verificar, actualizar y retroalimentar los procedimientos específicos de cada unidad, todo ello sustentado en una metodología de desarrollo de competencias y en el marco normativo de la Resolución N.°1031/2020 del Plan Anual de Capacitación Técnico Profesional.</w:t>
      </w:r>
    </w:p>
    <w:p w:rsidR="00000000" w:rsidDel="00000000" w:rsidP="00000000" w:rsidRDefault="00000000" w:rsidRPr="00000000" w14:paraId="00000006">
      <w:pPr>
        <w:pStyle w:val="Heading1"/>
        <w:spacing w:line="360" w:lineRule="auto"/>
        <w:ind w:firstLine="14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Style w:val="Heading1"/>
        <w:spacing w:line="360" w:lineRule="auto"/>
        <w:ind w:firstLine="1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Destinatarios:</w:t>
      </w:r>
    </w:p>
    <w:p w:rsidR="00000000" w:rsidDel="00000000" w:rsidP="00000000" w:rsidRDefault="00000000" w:rsidRPr="00000000" w14:paraId="00000008">
      <w:pPr>
        <w:spacing w:line="360" w:lineRule="auto"/>
        <w:ind w:left="143"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 la</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totalidad</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del</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personal activo perteneciente a la Superintendencia FOE.</w:t>
      </w:r>
    </w:p>
    <w:p w:rsidR="00000000" w:rsidDel="00000000" w:rsidP="00000000" w:rsidRDefault="00000000" w:rsidRPr="00000000" w14:paraId="00000009">
      <w:pPr>
        <w:spacing w:line="360" w:lineRule="auto"/>
        <w:ind w:left="143"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line="360" w:lineRule="auto"/>
        <w:ind w:left="143" w:firstLine="0"/>
        <w:jc w:val="both"/>
        <w:rPr>
          <w:rFonts w:ascii="Arial" w:cs="Arial" w:eastAsia="Arial" w:hAnsi="Arial"/>
        </w:rPr>
      </w:pPr>
      <w:r w:rsidDel="00000000" w:rsidR="00000000" w:rsidRPr="00000000">
        <w:rPr>
          <w:rFonts w:ascii="Arial" w:cs="Arial" w:eastAsia="Arial" w:hAnsi="Arial"/>
          <w:b w:val="1"/>
          <w:bCs w:val="1"/>
          <w:rtl w:val="0"/>
        </w:rPr>
        <w:t xml:space="preserve">Modalidad: </w:t>
      </w:r>
      <w:r w:rsidDel="00000000" w:rsidR="00000000" w:rsidRPr="00000000">
        <w:rPr>
          <w:rFonts w:ascii="Arial" w:cs="Arial" w:eastAsia="Arial" w:hAnsi="Arial"/>
          <w:rtl w:val="0"/>
        </w:rPr>
        <w:t xml:space="preserve">Presencial.</w:t>
      </w:r>
    </w:p>
    <w:p w:rsidR="00000000" w:rsidDel="00000000" w:rsidP="00000000" w:rsidRDefault="00000000" w:rsidRPr="00000000" w14:paraId="0000000B">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8 horas reloj.</w:t>
      </w:r>
    </w:p>
    <w:p w:rsidR="00000000" w:rsidDel="00000000" w:rsidP="00000000" w:rsidRDefault="00000000" w:rsidRPr="00000000" w14:paraId="0000000D">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spacing w:line="360" w:lineRule="auto"/>
        <w:ind w:firstLine="143"/>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Ediciones: </w:t>
      </w:r>
      <w:r w:rsidDel="00000000" w:rsidR="00000000" w:rsidRPr="00000000">
        <w:rPr>
          <w:rFonts w:ascii="Arial" w:cs="Arial" w:eastAsia="Arial" w:hAnsi="Arial"/>
          <w:b w:val="0"/>
          <w:bCs w:val="0"/>
          <w:sz w:val="22"/>
          <w:szCs w:val="22"/>
          <w:rtl w:val="0"/>
        </w:rPr>
        <w:t xml:space="preserve">2.</w:t>
      </w:r>
    </w:p>
    <w:p w:rsidR="00000000" w:rsidDel="00000000" w:rsidP="00000000" w:rsidRDefault="00000000" w:rsidRPr="00000000" w14:paraId="0000000F">
      <w:pPr>
        <w:pStyle w:val="Heading1"/>
        <w:spacing w:line="360" w:lineRule="auto"/>
        <w:ind w:firstLine="143"/>
        <w:rPr>
          <w:rFonts w:ascii="Arial" w:cs="Arial" w:eastAsia="Arial" w:hAnsi="Arial"/>
          <w:b w:val="0"/>
          <w:bCs w:val="0"/>
        </w:rPr>
      </w:pPr>
      <w:r w:rsidDel="00000000" w:rsidR="00000000" w:rsidRPr="00000000">
        <w:rPr>
          <w:rtl w:val="0"/>
        </w:rPr>
      </w:r>
    </w:p>
    <w:p w:rsidR="00000000" w:rsidDel="00000000" w:rsidP="00000000" w:rsidRDefault="00000000" w:rsidRPr="00000000" w14:paraId="00000010">
      <w:pPr>
        <w:shd w:fill="ffffff" w:val="clear"/>
        <w:tabs>
          <w:tab w:val="left" w:leader="none" w:pos="426"/>
        </w:tabs>
        <w:spacing w:line="36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Fecha de inicio y finalización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la 1ª edición: junio 2026. 2ª Edición: fecha tentativa; noviembre 2026. </w:t>
      </w:r>
    </w:p>
    <w:p w:rsidR="00000000" w:rsidDel="00000000" w:rsidP="00000000" w:rsidRDefault="00000000" w:rsidRPr="00000000" w14:paraId="00000011">
      <w:pPr>
        <w:shd w:fill="ffffff" w:val="clear"/>
        <w:tabs>
          <w:tab w:val="left" w:leader="none" w:pos="426"/>
        </w:tabs>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hd w:fill="ffffff" w:val="clear"/>
        <w:tabs>
          <w:tab w:val="left" w:leader="none" w:pos="426"/>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   Cupo: </w:t>
      </w:r>
      <w:r w:rsidDel="00000000" w:rsidR="00000000" w:rsidRPr="00000000">
        <w:rPr>
          <w:rFonts w:ascii="Arial" w:cs="Arial" w:eastAsia="Arial" w:hAnsi="Arial"/>
          <w:rtl w:val="0"/>
        </w:rPr>
        <w:t xml:space="preserve">25 por edición.</w:t>
      </w:r>
    </w:p>
    <w:p w:rsidR="00000000" w:rsidDel="00000000" w:rsidP="00000000" w:rsidRDefault="00000000" w:rsidRPr="00000000" w14:paraId="00000013">
      <w:pPr>
        <w:spacing w:line="360" w:lineRule="auto"/>
        <w:ind w:left="14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pStyle w:val="Heading1"/>
        <w:spacing w:line="360" w:lineRule="auto"/>
        <w:ind w:left="15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Medio de contacto:</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78" w:line="360" w:lineRule="auto"/>
        <w:ind w:left="720" w:right="14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Correo electrónico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r:id="rId8">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capacitacionhalcon@gmail.com</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78" w:line="360" w:lineRule="auto"/>
        <w:ind w:left="720" w:right="14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Teléfono: 11-44726003.</w:t>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after="160" w:before="78" w:line="360" w:lineRule="auto"/>
        <w:ind w:left="360" w:right="14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8" w:line="360" w:lineRule="auto"/>
        <w:ind w:left="720" w:right="14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s>
        <w:spacing w:after="0" w:before="42"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863"/>
        </w:tabs>
        <w:spacing w:before="42" w:line="360" w:lineRule="auto"/>
        <w:ind w:left="150" w:firstLine="0"/>
        <w:rPr>
          <w:rFonts w:ascii="Arial" w:cs="Arial" w:eastAsia="Arial" w:hAnsi="Arial"/>
          <w:color w:val="000000"/>
        </w:rPr>
      </w:pPr>
      <w:r w:rsidDel="00000000" w:rsidR="00000000" w:rsidRPr="00000000">
        <w:rPr>
          <w:rtl w:val="0"/>
        </w:rPr>
      </w:r>
    </w:p>
    <w:sectPr>
      <w:pgSz w:h="16840" w:w="11910" w:orient="portrait"/>
      <w:pgMar w:bottom="1418" w:top="1418" w:left="1418" w:right="1134"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17" w:lineRule="auto"/>
      <w:ind w:left="143"/>
    </w:pPr>
    <w:rPr>
      <w:sz w:val="34"/>
      <w:szCs w:val="3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spacing w:before="42"/>
      <w:ind w:left="863" w:hanging="360"/>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1121B6"/>
    <w:rPr>
      <w:rFonts w:ascii="Times New Roman" w:cs="Times New Roman" w:hAnsi="Times New Roman"/>
      <w:sz w:val="24"/>
      <w:szCs w:val="24"/>
    </w:rPr>
  </w:style>
  <w:style w:type="character" w:styleId="Hipervnculo">
    <w:name w:val="Hyperlink"/>
    <w:basedOn w:val="Fuentedeprrafopredeter"/>
    <w:uiPriority w:val="99"/>
    <w:unhideWhenUsed w:val="1"/>
    <w:rsid w:val="003742A3"/>
    <w:rPr>
      <w:color w:val="0000ff" w:themeColor="hyperlink"/>
      <w:u w:val="single"/>
    </w:rPr>
  </w:style>
  <w:style w:type="character" w:styleId="Mencinsinresolver">
    <w:name w:val="Unresolved Mention"/>
    <w:basedOn w:val="Fuentedeprrafopredeter"/>
    <w:uiPriority w:val="99"/>
    <w:semiHidden w:val="1"/>
    <w:unhideWhenUsed w:val="1"/>
    <w:rsid w:val="003742A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apacitacionhalcon@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6IMvPiivORAKZQu5hJ+zuC9aSQ==">CgMxLjA4AHIhMVdHanE3QzJXdHNfeUh0bkxHRFBqdzlSclI5dnNfMjU5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2026-02-05T20:08:00Z</dcterms:created>
  <dc:creator>Vanina Miralles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